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B9E" w:rsidRDefault="00EA0B9E" w:rsidP="00EA0B9E">
      <w:pPr>
        <w:pStyle w:val="caption1"/>
      </w:pPr>
      <w:r>
        <w:t>ЛЕКЦИЯ 8</w:t>
      </w:r>
    </w:p>
    <w:p w:rsidR="00EA0B9E" w:rsidRDefault="00EA0B9E" w:rsidP="00EA0B9E">
      <w:pPr>
        <w:pStyle w:val="a3"/>
      </w:pPr>
      <w:r>
        <w:t> </w:t>
      </w:r>
    </w:p>
    <w:p w:rsidR="00EA0B9E" w:rsidRDefault="00EA0B9E" w:rsidP="00EA0B9E">
      <w:pPr>
        <w:pStyle w:val="caption1"/>
      </w:pPr>
      <w:r>
        <w:t>8. Склады в ГАП</w:t>
      </w:r>
    </w:p>
    <w:p w:rsidR="00EA0B9E" w:rsidRDefault="00EA0B9E" w:rsidP="00EA0B9E">
      <w:pPr>
        <w:pStyle w:val="a3"/>
      </w:pPr>
      <w:r>
        <w:t> </w:t>
      </w:r>
    </w:p>
    <w:p w:rsidR="00EA0B9E" w:rsidRDefault="00EA0B9E" w:rsidP="00EA0B9E">
      <w:pPr>
        <w:pStyle w:val="caption2"/>
      </w:pPr>
      <w:r>
        <w:t>8.1. Классификация складов</w:t>
      </w:r>
    </w:p>
    <w:p w:rsidR="00EA0B9E" w:rsidRDefault="00EA0B9E" w:rsidP="00EA0B9E">
      <w:pPr>
        <w:pStyle w:val="a3"/>
      </w:pPr>
      <w:r>
        <w:t> </w:t>
      </w:r>
    </w:p>
    <w:p w:rsidR="00EA0B9E" w:rsidRDefault="00EA0B9E" w:rsidP="00EA0B9E">
      <w:pPr>
        <w:pStyle w:val="main"/>
      </w:pPr>
      <w:r>
        <w:t>Склады промышленных предприятий целесообразно классифицировать на:</w:t>
      </w:r>
    </w:p>
    <w:p w:rsidR="00EA0B9E" w:rsidRDefault="00EA0B9E" w:rsidP="00EA0B9E">
      <w:pPr>
        <w:pStyle w:val="list2"/>
        <w:numPr>
          <w:ilvl w:val="0"/>
          <w:numId w:val="1"/>
        </w:numPr>
        <w:ind w:firstLine="400"/>
      </w:pPr>
      <w:r>
        <w:t>склады прибытия (материалы, комплектющие изделия);</w:t>
      </w:r>
    </w:p>
    <w:p w:rsidR="00EA0B9E" w:rsidRDefault="00EA0B9E" w:rsidP="00EA0B9E">
      <w:pPr>
        <w:pStyle w:val="list2"/>
        <w:numPr>
          <w:ilvl w:val="0"/>
          <w:numId w:val="1"/>
        </w:numPr>
        <w:ind w:firstLine="400"/>
      </w:pPr>
      <w:r>
        <w:t>промежуточные производственные склады (заготовки, полуфабрикаты, инструмент, технологическая оснастка);</w:t>
      </w:r>
    </w:p>
    <w:p w:rsidR="00EA0B9E" w:rsidRDefault="00EA0B9E" w:rsidP="00EA0B9E">
      <w:pPr>
        <w:pStyle w:val="list2"/>
        <w:numPr>
          <w:ilvl w:val="0"/>
          <w:numId w:val="1"/>
        </w:numPr>
        <w:ind w:firstLine="400"/>
      </w:pPr>
      <w:r>
        <w:t>склады отправления (готовая продукция).</w:t>
      </w:r>
    </w:p>
    <w:p w:rsidR="00EA0B9E" w:rsidRDefault="00EA0B9E" w:rsidP="00EA0B9E">
      <w:pPr>
        <w:pStyle w:val="main"/>
      </w:pPr>
      <w:r>
        <w:t>По срокам хранения грузов возможны следующие группы складов:</w:t>
      </w:r>
    </w:p>
    <w:p w:rsidR="00EA0B9E" w:rsidRDefault="00EA0B9E" w:rsidP="00EA0B9E">
      <w:pPr>
        <w:pStyle w:val="list1"/>
        <w:numPr>
          <w:ilvl w:val="0"/>
          <w:numId w:val="2"/>
        </w:numPr>
        <w:ind w:firstLine="400"/>
      </w:pPr>
      <w:r>
        <w:t>непосредственной перегрузки грузов (срок хранения Т</w:t>
      </w:r>
      <w:r>
        <w:rPr>
          <w:vertAlign w:val="subscript"/>
        </w:rPr>
        <w:t xml:space="preserve">хр </w:t>
      </w:r>
      <w:r>
        <w:t>= 0);</w:t>
      </w:r>
    </w:p>
    <w:p w:rsidR="00EA0B9E" w:rsidRDefault="00EA0B9E" w:rsidP="00EA0B9E">
      <w:pPr>
        <w:pStyle w:val="list1"/>
        <w:numPr>
          <w:ilvl w:val="0"/>
          <w:numId w:val="2"/>
        </w:numPr>
        <w:ind w:firstLine="400"/>
      </w:pPr>
      <w:r>
        <w:t>временного хранения (</w:t>
      </w:r>
      <w:r>
        <w:rPr>
          <w:noProof/>
        </w:rPr>
        <w:drawing>
          <wp:inline distT="0" distB="0" distL="0" distR="0">
            <wp:extent cx="657225" cy="238125"/>
            <wp:effectExtent l="19050" t="0" r="9525" b="0"/>
            <wp:docPr id="1" name="Рисунок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cут.);</w:t>
      </w:r>
    </w:p>
    <w:p w:rsidR="00EA0B9E" w:rsidRDefault="00EA0B9E" w:rsidP="00EA0B9E">
      <w:pPr>
        <w:pStyle w:val="list1"/>
        <w:numPr>
          <w:ilvl w:val="0"/>
          <w:numId w:val="2"/>
        </w:numPr>
        <w:ind w:firstLine="400"/>
      </w:pPr>
      <w:r>
        <w:t>краткосрочного хранения грузов (</w:t>
      </w:r>
      <w:r>
        <w:rPr>
          <w:noProof/>
        </w:rPr>
        <w:drawing>
          <wp:inline distT="0" distB="0" distL="0" distR="0">
            <wp:extent cx="752475" cy="238125"/>
            <wp:effectExtent l="19050" t="0" r="9525" b="0"/>
            <wp:docPr id="2" name="Рисунок 2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сут.);</w:t>
      </w:r>
    </w:p>
    <w:p w:rsidR="00EA0B9E" w:rsidRDefault="00EA0B9E" w:rsidP="00EA0B9E">
      <w:pPr>
        <w:pStyle w:val="list1"/>
        <w:numPr>
          <w:ilvl w:val="0"/>
          <w:numId w:val="2"/>
        </w:numPr>
        <w:ind w:firstLine="400"/>
      </w:pPr>
      <w:r>
        <w:t>со средними сроками хранения (</w:t>
      </w:r>
      <w:r>
        <w:rPr>
          <w:noProof/>
        </w:rPr>
        <w:drawing>
          <wp:inline distT="0" distB="0" distL="0" distR="0">
            <wp:extent cx="828675" cy="238125"/>
            <wp:effectExtent l="19050" t="0" r="9525" b="0"/>
            <wp:docPr id="3" name="Рисунок 3" descr="image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cут.);</w:t>
      </w:r>
    </w:p>
    <w:p w:rsidR="00EA0B9E" w:rsidRDefault="00EA0B9E" w:rsidP="00EA0B9E">
      <w:pPr>
        <w:pStyle w:val="list1"/>
        <w:numPr>
          <w:ilvl w:val="0"/>
          <w:numId w:val="2"/>
        </w:numPr>
        <w:ind w:firstLine="400"/>
      </w:pPr>
      <w:r>
        <w:t>длительного хранения (</w:t>
      </w:r>
      <w:r>
        <w:rPr>
          <w:noProof/>
        </w:rPr>
        <w:drawing>
          <wp:inline distT="0" distB="0" distL="0" distR="0">
            <wp:extent cx="828675" cy="238125"/>
            <wp:effectExtent l="0" t="0" r="9525" b="0"/>
            <wp:docPr id="4" name="Рисунок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00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cут.);</w:t>
      </w:r>
    </w:p>
    <w:p w:rsidR="00EA0B9E" w:rsidRDefault="00EA0B9E" w:rsidP="00EA0B9E">
      <w:pPr>
        <w:pStyle w:val="list1"/>
        <w:numPr>
          <w:ilvl w:val="0"/>
          <w:numId w:val="2"/>
        </w:numPr>
        <w:ind w:firstLine="400"/>
      </w:pPr>
      <w:r>
        <w:t>долгосрочного хранения (</w:t>
      </w:r>
      <w:r>
        <w:rPr>
          <w:noProof/>
        </w:rPr>
        <w:drawing>
          <wp:inline distT="0" distB="0" distL="0" distR="0">
            <wp:extent cx="885825" cy="238125"/>
            <wp:effectExtent l="19050" t="0" r="9525" b="0"/>
            <wp:docPr id="5" name="Рисунок 5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00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cут.);</w:t>
      </w:r>
    </w:p>
    <w:p w:rsidR="00EA0B9E" w:rsidRDefault="00EA0B9E" w:rsidP="00EA0B9E">
      <w:pPr>
        <w:pStyle w:val="list1"/>
        <w:numPr>
          <w:ilvl w:val="0"/>
          <w:numId w:val="2"/>
        </w:numPr>
        <w:ind w:firstLine="400"/>
      </w:pPr>
      <w:r>
        <w:t>многолетнего хранения (T</w:t>
      </w:r>
      <w:r>
        <w:rPr>
          <w:vertAlign w:val="subscript"/>
        </w:rPr>
        <w:t xml:space="preserve">хр </w:t>
      </w:r>
      <w:r>
        <w:t>&gt; 365 cут.).</w:t>
      </w:r>
    </w:p>
    <w:p w:rsidR="00EA0B9E" w:rsidRDefault="00EA0B9E" w:rsidP="00EA0B9E">
      <w:pPr>
        <w:pStyle w:val="main"/>
      </w:pPr>
      <w:r>
        <w:t>Важным признаком классификации складов является размер порций прибытия и отправления грузов. Размеры выдаваемых порций грузов могут резко колебаться даже на одном и том же складе (табл. 8.1).</w:t>
      </w:r>
    </w:p>
    <w:p w:rsidR="00EA0B9E" w:rsidRDefault="00EA0B9E" w:rsidP="00EA0B9E">
      <w:pPr>
        <w:pStyle w:val="a3"/>
      </w:pPr>
      <w:r>
        <w:t> </w:t>
      </w:r>
    </w:p>
    <w:p w:rsidR="00EA0B9E" w:rsidRDefault="00EA0B9E" w:rsidP="00EA0B9E">
      <w:pPr>
        <w:pStyle w:val="caption4"/>
      </w:pPr>
      <w:r>
        <w:t>По количеству наименований одновременно складируемых грузов склады можно классифицировать:</w:t>
      </w:r>
    </w:p>
    <w:p w:rsidR="00EA0B9E" w:rsidRDefault="00EA0B9E" w:rsidP="00EA0B9E">
      <w:pPr>
        <w:pStyle w:val="list2"/>
      </w:pPr>
      <w:r>
        <w:rPr>
          <w:rFonts w:hAnsi="Symbol"/>
        </w:rPr>
        <w:t></w:t>
      </w:r>
      <w:r>
        <w:t xml:space="preserve">  склады однотипных грузов (с числом наименований в пределах от 60 до 100);</w:t>
      </w:r>
    </w:p>
    <w:p w:rsidR="00EA0B9E" w:rsidRDefault="00EA0B9E" w:rsidP="00EA0B9E">
      <w:pPr>
        <w:pStyle w:val="list2"/>
      </w:pPr>
      <w:r>
        <w:rPr>
          <w:rFonts w:hAnsi="Symbol"/>
        </w:rPr>
        <w:t></w:t>
      </w:r>
      <w:r>
        <w:t xml:space="preserve">  многономенклатурные склады (с числом наименований грузов в несколько сот или тысяч).</w:t>
      </w:r>
    </w:p>
    <w:p w:rsidR="00EA0B9E" w:rsidRDefault="00EA0B9E" w:rsidP="00EA0B9E">
      <w:pPr>
        <w:pStyle w:val="main"/>
      </w:pPr>
      <w:r>
        <w:t>Число наименований грузов существенно влияет на выбор способа хранения:</w:t>
      </w:r>
    </w:p>
    <w:p w:rsidR="00EA0B9E" w:rsidRDefault="00EA0B9E" w:rsidP="00EA0B9E">
      <w:pPr>
        <w:pStyle w:val="list2"/>
      </w:pPr>
      <w:r>
        <w:rPr>
          <w:rFonts w:hAnsi="Symbol"/>
        </w:rPr>
        <w:t></w:t>
      </w:r>
      <w:r>
        <w:t xml:space="preserve">  на многономенклатурных складах применяется рядное хранение (в клеточных стеллажах);</w:t>
      </w:r>
    </w:p>
    <w:p w:rsidR="00EA0B9E" w:rsidRDefault="00EA0B9E" w:rsidP="00EA0B9E">
      <w:pPr>
        <w:pStyle w:val="list2"/>
      </w:pPr>
      <w:r>
        <w:rPr>
          <w:rFonts w:hAnsi="Symbol"/>
        </w:rPr>
        <w:t></w:t>
      </w:r>
      <w:r>
        <w:t xml:space="preserve">  на складах однотипных грузов – блочное хранение (в штабелях или в стеллажах с многоместными ячейками).</w:t>
      </w:r>
    </w:p>
    <w:p w:rsidR="00EA0B9E" w:rsidRDefault="00EA0B9E" w:rsidP="00EA0B9E">
      <w:pPr>
        <w:pStyle w:val="main"/>
      </w:pPr>
      <w:r>
        <w:t>По высоте хранения грузов следует различать три основные группы одноэтажных складов:</w:t>
      </w:r>
    </w:p>
    <w:p w:rsidR="00EA0B9E" w:rsidRDefault="00EA0B9E" w:rsidP="00EA0B9E">
      <w:pPr>
        <w:pStyle w:val="list2"/>
      </w:pPr>
      <w:r>
        <w:rPr>
          <w:rFonts w:hAnsi="Symbol"/>
        </w:rPr>
        <w:t></w:t>
      </w:r>
      <w:r>
        <w:t xml:space="preserve">  низкие (с полезной высотой зоны складирования до 5 м);</w:t>
      </w:r>
    </w:p>
    <w:p w:rsidR="00EA0B9E" w:rsidRDefault="00EA0B9E" w:rsidP="00EA0B9E">
      <w:pPr>
        <w:pStyle w:val="list2"/>
      </w:pPr>
      <w:r>
        <w:rPr>
          <w:rFonts w:hAnsi="Symbol"/>
        </w:rPr>
        <w:t></w:t>
      </w:r>
      <w:r>
        <w:t xml:space="preserve">  средней высоты (с полезной высотой зоны складирования от 5 до 8 м);</w:t>
      </w:r>
    </w:p>
    <w:p w:rsidR="00EA0B9E" w:rsidRDefault="00EA0B9E" w:rsidP="00EA0B9E">
      <w:pPr>
        <w:pStyle w:val="list2"/>
      </w:pPr>
      <w:r>
        <w:rPr>
          <w:rFonts w:hAnsi="Symbol"/>
        </w:rPr>
        <w:t></w:t>
      </w:r>
      <w:r>
        <w:t xml:space="preserve">  высотные (с полезной высотой зоны складирования свыше 8 м).</w:t>
      </w:r>
    </w:p>
    <w:p w:rsidR="00EA0B9E" w:rsidRDefault="00EA0B9E" w:rsidP="00EA0B9E">
      <w:pPr>
        <w:pStyle w:val="main"/>
      </w:pPr>
      <w:r>
        <w:t>По уровню механизации и автоматизации склады делятся на пять типов:</w:t>
      </w:r>
    </w:p>
    <w:p w:rsidR="00EA0B9E" w:rsidRDefault="00EA0B9E" w:rsidP="00EA0B9E">
      <w:pPr>
        <w:pStyle w:val="list2"/>
      </w:pPr>
      <w:r>
        <w:rPr>
          <w:rFonts w:hAnsi="Symbol"/>
        </w:rPr>
        <w:t></w:t>
      </w:r>
      <w:r>
        <w:t xml:space="preserve">  немеханизированные;</w:t>
      </w:r>
    </w:p>
    <w:p w:rsidR="00EA0B9E" w:rsidRDefault="00EA0B9E" w:rsidP="00EA0B9E">
      <w:pPr>
        <w:pStyle w:val="list2"/>
      </w:pPr>
      <w:r>
        <w:rPr>
          <w:rFonts w:hAnsi="Symbol"/>
        </w:rPr>
        <w:t></w:t>
      </w:r>
      <w:r>
        <w:t xml:space="preserve">  механизированные;</w:t>
      </w:r>
    </w:p>
    <w:p w:rsidR="00EA0B9E" w:rsidRDefault="00EA0B9E" w:rsidP="00EA0B9E">
      <w:pPr>
        <w:pStyle w:val="list2"/>
      </w:pPr>
      <w:r>
        <w:rPr>
          <w:rFonts w:hAnsi="Symbol"/>
        </w:rPr>
        <w:t></w:t>
      </w:r>
      <w:r>
        <w:t xml:space="preserve">  высокомеханизированные;</w:t>
      </w:r>
    </w:p>
    <w:p w:rsidR="00EA0B9E" w:rsidRDefault="00EA0B9E" w:rsidP="00EA0B9E">
      <w:pPr>
        <w:pStyle w:val="list2"/>
      </w:pPr>
      <w:r>
        <w:rPr>
          <w:rFonts w:hAnsi="Symbol"/>
        </w:rPr>
        <w:t></w:t>
      </w:r>
      <w:r>
        <w:t xml:space="preserve">  автоматизированные;</w:t>
      </w:r>
    </w:p>
    <w:p w:rsidR="00EA0B9E" w:rsidRDefault="00EA0B9E" w:rsidP="00EA0B9E">
      <w:pPr>
        <w:pStyle w:val="list2"/>
      </w:pPr>
      <w:r>
        <w:rPr>
          <w:rFonts w:hAnsi="Symbol"/>
        </w:rPr>
        <w:t></w:t>
      </w:r>
      <w:r>
        <w:t xml:space="preserve">  автоматические.</w:t>
      </w:r>
    </w:p>
    <w:p w:rsidR="00EA0B9E" w:rsidRDefault="00EA0B9E" w:rsidP="00EA0B9E">
      <w:pPr>
        <w:pStyle w:val="main"/>
      </w:pPr>
      <w:r>
        <w:lastRenderedPageBreak/>
        <w:t>В немеханизированных складах применяется ручной труд при перегрузках, перемещениях и складировании грузов.</w:t>
      </w:r>
    </w:p>
    <w:p w:rsidR="00EA0B9E" w:rsidRDefault="00EA0B9E" w:rsidP="00EA0B9E">
      <w:pPr>
        <w:pStyle w:val="main"/>
      </w:pPr>
      <w:r>
        <w:t>В механизированных применяются средства механизации с ручным управлением для обслуживания зоны хранения грузов, имеется часть ручных работ.</w:t>
      </w:r>
    </w:p>
    <w:p w:rsidR="00EA0B9E" w:rsidRDefault="00EA0B9E" w:rsidP="00EA0B9E">
      <w:pPr>
        <w:pStyle w:val="main"/>
      </w:pPr>
      <w:r>
        <w:t>В высокомеханизированном используются средства механизации с ручным управлением на операциях складирования, перемещения, погрузки и выгрузки и отсутствие ручных работ на этих операциях.</w:t>
      </w:r>
    </w:p>
    <w:p w:rsidR="00EA0B9E" w:rsidRDefault="00EA0B9E" w:rsidP="00EA0B9E">
      <w:pPr>
        <w:pStyle w:val="tabcaption"/>
      </w:pPr>
      <w:r>
        <w:t>Таблица 8.1. Классификация складов штучных грузов по соотношению порций приема и выдачи одного наименования грузов.</w:t>
      </w:r>
    </w:p>
    <w:p w:rsidR="00EA0B9E" w:rsidRDefault="00EA0B9E" w:rsidP="00EA0B9E">
      <w:pPr>
        <w:pStyle w:val="main"/>
      </w:pPr>
      <w:r>
        <w:rPr>
          <w:noProof/>
        </w:rPr>
        <w:drawing>
          <wp:inline distT="0" distB="0" distL="0" distR="0">
            <wp:extent cx="5943600" cy="6134100"/>
            <wp:effectExtent l="0" t="0" r="0" b="0"/>
            <wp:docPr id="6" name="Рисунок 6" descr="image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00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13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0B9E" w:rsidRDefault="00EA0B9E" w:rsidP="00EA0B9E">
      <w:pPr>
        <w:pStyle w:val="main"/>
      </w:pPr>
      <w:r>
        <w:t>В автоматизированных применяются полуавтоматические механизмы с вводом команд на клавиатуре или перфокартами на операциях перемещения или складирования грузов.</w:t>
      </w:r>
    </w:p>
    <w:p w:rsidR="00EA0B9E" w:rsidRDefault="00EA0B9E" w:rsidP="00EA0B9E">
      <w:pPr>
        <w:pStyle w:val="main"/>
      </w:pPr>
      <w:r>
        <w:t>В автоматических применяются полуавтоматические механизмы с вводом команд на клавиатуре или перфокартами на операциях перемещения или складирования грузов.</w:t>
      </w:r>
    </w:p>
    <w:p w:rsidR="00EA0B9E" w:rsidRDefault="00EA0B9E" w:rsidP="00EA0B9E">
      <w:pPr>
        <w:pStyle w:val="main"/>
      </w:pPr>
      <w:r>
        <w:lastRenderedPageBreak/>
        <w:t>В автоматических применяются полуавтоматические механизмы с вводом команд от ЭВМ по каналам связи.</w:t>
      </w:r>
    </w:p>
    <w:p w:rsidR="00EA0B9E" w:rsidRDefault="00EA0B9E" w:rsidP="00EA0B9E">
      <w:pPr>
        <w:pStyle w:val="main"/>
      </w:pPr>
      <w:r>
        <w:t>По технологии работы склады делятся на комплектовочные и склады с пакетной переработкой грузов.</w:t>
      </w:r>
    </w:p>
    <w:p w:rsidR="00EA0B9E" w:rsidRDefault="00EA0B9E" w:rsidP="00EA0B9E">
      <w:pPr>
        <w:pStyle w:val="main"/>
      </w:pPr>
      <w:r>
        <w:t>По виду складирования делятся на штабельные и стеллажные;</w:t>
      </w:r>
    </w:p>
    <w:p w:rsidR="00EA0B9E" w:rsidRDefault="00EA0B9E" w:rsidP="00EA0B9E">
      <w:pPr>
        <w:pStyle w:val="main"/>
      </w:pPr>
      <w:r>
        <w:t>По взаимному расположению хранилища и экспедиции склады делятся на поточные и тупиковые.</w:t>
      </w:r>
    </w:p>
    <w:p w:rsidR="00EA0B9E" w:rsidRDefault="00EA0B9E" w:rsidP="00EA0B9E">
      <w:pPr>
        <w:pStyle w:val="main"/>
      </w:pPr>
      <w:r>
        <w:t>По типу строительной части делятся на закрытые склады, навесы, открытые площадки, однопролетные и многопролетные, одноэтажные и многоэтажные.</w:t>
      </w:r>
    </w:p>
    <w:p w:rsidR="00EA0B9E" w:rsidRDefault="00EA0B9E" w:rsidP="00EA0B9E">
      <w:pPr>
        <w:pStyle w:val="main"/>
      </w:pPr>
      <w:r>
        <w:t>По расположению на генплане завода делятся на отдельно стоящие и сблокированные с производственными корпусами.</w:t>
      </w:r>
    </w:p>
    <w:p w:rsidR="00EA0B9E" w:rsidRDefault="00EA0B9E" w:rsidP="00EA0B9E">
      <w:pPr>
        <w:pStyle w:val="main"/>
      </w:pPr>
      <w:r>
        <w:t xml:space="preserve">На заводах система складского хозяйства может быть построена по централизованному или децентрализованному принципу. </w:t>
      </w:r>
    </w:p>
    <w:p w:rsidR="00EA0B9E" w:rsidRDefault="00EA0B9E" w:rsidP="00EA0B9E">
      <w:pPr>
        <w:pStyle w:val="main"/>
      </w:pPr>
      <w:r>
        <w:t>При наиболее рациональной централизованной системе складского хозяйства в цехах и на участках нет своих складов, а все запасы сырья, готовых изделий и полуфабрикатов хранят на центральных складах.</w:t>
      </w:r>
    </w:p>
    <w:p w:rsidR="00EA0B9E" w:rsidRDefault="00EA0B9E" w:rsidP="00EA0B9E">
      <w:pPr>
        <w:pStyle w:val="main"/>
      </w:pPr>
      <w:r>
        <w:t>При децентрализованной системе складского хозяйства в цехах имеются свои мелкие склады.</w:t>
      </w:r>
    </w:p>
    <w:p w:rsidR="00EA0B9E" w:rsidRDefault="00EA0B9E" w:rsidP="00EA0B9E">
      <w:pPr>
        <w:pStyle w:val="main"/>
      </w:pPr>
      <w:r>
        <w:t>При системе централизованного складского обслуживания цехов и доставки грузов со складов цехам по кольцевым маршрутам каждый кольцевой маршрут включает в себя определенное количество складов, цехов, участков, в том числе ГПС.</w:t>
      </w:r>
    </w:p>
    <w:p w:rsidR="00EA0B9E" w:rsidRDefault="00EA0B9E" w:rsidP="00EA0B9E">
      <w:pPr>
        <w:pStyle w:val="main"/>
      </w:pPr>
      <w:r>
        <w:t>При маятниковых маршрутах склад имеет непосредственную связь с определенным цехом.</w:t>
      </w:r>
    </w:p>
    <w:p w:rsidR="00EA0B9E" w:rsidRDefault="00EA0B9E" w:rsidP="00EA0B9E">
      <w:pPr>
        <w:pStyle w:val="a3"/>
      </w:pPr>
      <w:r>
        <w:t> </w:t>
      </w:r>
    </w:p>
    <w:p w:rsidR="00EA0B9E" w:rsidRDefault="00EA0B9E" w:rsidP="00EA0B9E">
      <w:pPr>
        <w:pStyle w:val="caption2"/>
      </w:pPr>
      <w:r>
        <w:t>8.2. Типы автоматических складов</w:t>
      </w:r>
    </w:p>
    <w:p w:rsidR="00EA0B9E" w:rsidRDefault="00EA0B9E" w:rsidP="00EA0B9E">
      <w:pPr>
        <w:pStyle w:val="a3"/>
      </w:pPr>
      <w:r>
        <w:t> </w:t>
      </w:r>
    </w:p>
    <w:p w:rsidR="00EA0B9E" w:rsidRDefault="00EA0B9E" w:rsidP="00EA0B9E">
      <w:pPr>
        <w:pStyle w:val="main"/>
      </w:pPr>
      <w:r>
        <w:t>За основные признаки классификации приняты наличие стеллажных конструкций, типы и конструкция стеллажей и штабелирующих машин.</w:t>
      </w:r>
    </w:p>
    <w:p w:rsidR="00EA0B9E" w:rsidRDefault="00EA0B9E" w:rsidP="00EA0B9E">
      <w:pPr>
        <w:pStyle w:val="main"/>
      </w:pPr>
      <w:r>
        <w:t>Возможна классификация автоматических складов ГПС и по другим признакам: объему и размерам складов, выполняемым функциям, типам и параметрам складской тары, расположению участков приема и выдачи грузов по отношению к зоне хранения, уровню и техническим средствам автоматизации и др. (рис. 8.1).</w:t>
      </w:r>
    </w:p>
    <w:p w:rsidR="00EA0B9E" w:rsidRDefault="00EA0B9E" w:rsidP="00EA0B9E">
      <w:pPr>
        <w:pStyle w:val="image"/>
      </w:pPr>
      <w:r>
        <w:rPr>
          <w:noProof/>
        </w:rPr>
        <w:lastRenderedPageBreak/>
        <w:drawing>
          <wp:inline distT="0" distB="0" distL="0" distR="0">
            <wp:extent cx="5829300" cy="3352800"/>
            <wp:effectExtent l="19050" t="0" r="0" b="0"/>
            <wp:docPr id="7" name="Рисунок 7" descr="image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00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0B9E" w:rsidRDefault="00EA0B9E" w:rsidP="00EA0B9E">
      <w:pPr>
        <w:pStyle w:val="image"/>
      </w:pPr>
      <w:r>
        <w:t>Рис. 8.1. Классификация по типам оборудования</w:t>
      </w:r>
    </w:p>
    <w:p w:rsidR="00EA0B9E" w:rsidRDefault="00EA0B9E" w:rsidP="00EA0B9E">
      <w:pPr>
        <w:pStyle w:val="a3"/>
      </w:pPr>
      <w:r>
        <w:t> </w:t>
      </w:r>
    </w:p>
    <w:p w:rsidR="00EA0B9E" w:rsidRDefault="00EA0B9E" w:rsidP="00EA0B9E">
      <w:pPr>
        <w:pStyle w:val="main"/>
      </w:pPr>
      <w:r>
        <w:t>Склады осуществляют взаимодействие ГПС с внешними по отношению к ней системами промышленные предприятия. Через склады в ГПС поступают и отправляются все материальные потоки, необходимые для успешного функционирования ГПС.</w:t>
      </w:r>
    </w:p>
    <w:p w:rsidR="00EA0B9E" w:rsidRDefault="00EA0B9E" w:rsidP="00EA0B9E">
      <w:pPr>
        <w:pStyle w:val="main"/>
      </w:pPr>
      <w:r>
        <w:t>Автоматизированная складская система ГПС предназначена для:</w:t>
      </w:r>
    </w:p>
    <w:p w:rsidR="00EA0B9E" w:rsidRDefault="00EA0B9E" w:rsidP="00EA0B9E">
      <w:pPr>
        <w:pStyle w:val="list1"/>
        <w:numPr>
          <w:ilvl w:val="0"/>
          <w:numId w:val="3"/>
        </w:numPr>
        <w:ind w:firstLine="400"/>
      </w:pPr>
      <w:r>
        <w:t>приема, хранения нормативного запас, выдачи в производство и учета исходного сырь, основных материалов и заготовок, вспомогательных материалов, порожней тары, инструмента и приспособлений, сменных захватов и запасных частей для станков и ПР;</w:t>
      </w:r>
    </w:p>
    <w:p w:rsidR="00EA0B9E" w:rsidRDefault="00EA0B9E" w:rsidP="00EA0B9E">
      <w:pPr>
        <w:pStyle w:val="list1"/>
        <w:numPr>
          <w:ilvl w:val="0"/>
          <w:numId w:val="3"/>
        </w:numPr>
        <w:ind w:firstLine="400"/>
      </w:pPr>
      <w:r>
        <w:t>накопления и временного хранения готовых изделий, отходов производства, бракованных деталей с целью обеспечения эффективного производственного процесса в ГПС.</w:t>
      </w:r>
    </w:p>
    <w:p w:rsidR="00EA0B9E" w:rsidRDefault="00EA0B9E" w:rsidP="00EA0B9E">
      <w:pPr>
        <w:pStyle w:val="main"/>
      </w:pPr>
      <w:r>
        <w:t>Склад может состоять из различных сочетаний следующих технологических участков:</w:t>
      </w:r>
    </w:p>
    <w:p w:rsidR="00EA0B9E" w:rsidRDefault="00EA0B9E" w:rsidP="00EA0B9E">
      <w:pPr>
        <w:pStyle w:val="list2"/>
      </w:pPr>
      <w:r>
        <w:rPr>
          <w:rFonts w:hAnsi="Symbol"/>
        </w:rPr>
        <w:t></w:t>
      </w:r>
      <w:r>
        <w:t xml:space="preserve">  зоны хранения грузов;</w:t>
      </w:r>
    </w:p>
    <w:p w:rsidR="00EA0B9E" w:rsidRDefault="00EA0B9E" w:rsidP="00EA0B9E">
      <w:pPr>
        <w:pStyle w:val="list2"/>
      </w:pPr>
      <w:r>
        <w:rPr>
          <w:rFonts w:hAnsi="Symbol"/>
        </w:rPr>
        <w:t></w:t>
      </w:r>
      <w:r>
        <w:t xml:space="preserve">  участка приема и выдачи грузов на внутризаводской транспорт;</w:t>
      </w:r>
    </w:p>
    <w:p w:rsidR="00EA0B9E" w:rsidRDefault="00EA0B9E" w:rsidP="00EA0B9E">
      <w:pPr>
        <w:pStyle w:val="list2"/>
      </w:pPr>
      <w:r>
        <w:rPr>
          <w:rFonts w:hAnsi="Symbol"/>
        </w:rPr>
        <w:t></w:t>
      </w:r>
      <w:r>
        <w:t xml:space="preserve">  участка укладки деталей или изделий в транспортно-складскую тару;</w:t>
      </w:r>
    </w:p>
    <w:p w:rsidR="00EA0B9E" w:rsidRDefault="00EA0B9E" w:rsidP="00EA0B9E">
      <w:pPr>
        <w:pStyle w:val="list2"/>
      </w:pPr>
      <w:r>
        <w:rPr>
          <w:rFonts w:hAnsi="Symbol"/>
        </w:rPr>
        <w:t></w:t>
      </w:r>
      <w:r>
        <w:t xml:space="preserve">  участка приема и выдачи грузов из зоны хранения;</w:t>
      </w:r>
    </w:p>
    <w:p w:rsidR="00EA0B9E" w:rsidRDefault="00EA0B9E" w:rsidP="00EA0B9E">
      <w:pPr>
        <w:pStyle w:val="list2"/>
      </w:pPr>
      <w:r>
        <w:rPr>
          <w:rFonts w:hAnsi="Symbol"/>
        </w:rPr>
        <w:t></w:t>
      </w:r>
      <w:r>
        <w:t xml:space="preserve">  участков приема и выдачи грузов на внутрисистемный транспорт ГПС.</w:t>
      </w:r>
    </w:p>
    <w:p w:rsidR="00EA0B9E" w:rsidRDefault="00EA0B9E" w:rsidP="00EA0B9E">
      <w:pPr>
        <w:pStyle w:val="main"/>
      </w:pPr>
      <w:r>
        <w:t>Наиболее распространенный автоматический стеллажный склад состоит из следующих элементов:</w:t>
      </w:r>
    </w:p>
    <w:p w:rsidR="00EA0B9E" w:rsidRDefault="00EA0B9E" w:rsidP="00EA0B9E">
      <w:pPr>
        <w:pStyle w:val="list2"/>
      </w:pPr>
      <w:r>
        <w:rPr>
          <w:rFonts w:hAnsi="Symbol"/>
        </w:rPr>
        <w:t></w:t>
      </w:r>
      <w:r>
        <w:t xml:space="preserve">  стеллажные конструкции;</w:t>
      </w:r>
    </w:p>
    <w:p w:rsidR="00EA0B9E" w:rsidRDefault="00EA0B9E" w:rsidP="00EA0B9E">
      <w:pPr>
        <w:pStyle w:val="list2"/>
      </w:pPr>
      <w:r>
        <w:rPr>
          <w:rFonts w:hAnsi="Symbol"/>
        </w:rPr>
        <w:t></w:t>
      </w:r>
      <w:r>
        <w:t xml:space="preserve">  автоматические штабелирующие машины;</w:t>
      </w:r>
    </w:p>
    <w:p w:rsidR="00EA0B9E" w:rsidRDefault="00EA0B9E" w:rsidP="00EA0B9E">
      <w:pPr>
        <w:pStyle w:val="list2"/>
      </w:pPr>
      <w:r>
        <w:rPr>
          <w:rFonts w:hAnsi="Symbol"/>
        </w:rPr>
        <w:t></w:t>
      </w:r>
      <w:r>
        <w:t xml:space="preserve">  транспортно-складская тара;</w:t>
      </w:r>
    </w:p>
    <w:p w:rsidR="00EA0B9E" w:rsidRDefault="00EA0B9E" w:rsidP="00EA0B9E">
      <w:pPr>
        <w:pStyle w:val="list2"/>
      </w:pPr>
      <w:r>
        <w:rPr>
          <w:rFonts w:hAnsi="Symbol"/>
        </w:rPr>
        <w:t></w:t>
      </w:r>
      <w:r>
        <w:t xml:space="preserve">  устройства для перегрузки тары (порожней или груженой) со штабелирующей машины на накопитель;</w:t>
      </w:r>
    </w:p>
    <w:p w:rsidR="00EA0B9E" w:rsidRDefault="00EA0B9E" w:rsidP="00EA0B9E">
      <w:pPr>
        <w:pStyle w:val="list2"/>
      </w:pPr>
      <w:r>
        <w:rPr>
          <w:rFonts w:hAnsi="Symbol"/>
        </w:rPr>
        <w:t></w:t>
      </w:r>
      <w:r>
        <w:t xml:space="preserve">  напольные накопители (конвейеры или специальные устройства);</w:t>
      </w:r>
    </w:p>
    <w:p w:rsidR="00EA0B9E" w:rsidRDefault="00EA0B9E" w:rsidP="00EA0B9E">
      <w:pPr>
        <w:pStyle w:val="list2"/>
      </w:pPr>
      <w:r>
        <w:rPr>
          <w:rFonts w:hAnsi="Symbol"/>
        </w:rPr>
        <w:lastRenderedPageBreak/>
        <w:t></w:t>
      </w:r>
      <w:r>
        <w:t xml:space="preserve">  устройства для передачи тары с накопителя на транспортную систему ГПС или в обратном направлении;</w:t>
      </w:r>
    </w:p>
    <w:p w:rsidR="00EA0B9E" w:rsidRDefault="00EA0B9E" w:rsidP="00EA0B9E">
      <w:pPr>
        <w:pStyle w:val="list2"/>
      </w:pPr>
      <w:r>
        <w:rPr>
          <w:rFonts w:hAnsi="Symbol"/>
        </w:rPr>
        <w:t></w:t>
      </w:r>
      <w:r>
        <w:t xml:space="preserve">  технические средства систем автоматического управления складом.</w:t>
      </w:r>
    </w:p>
    <w:p w:rsidR="00EA0B9E" w:rsidRDefault="00EA0B9E" w:rsidP="00EA0B9E">
      <w:pPr>
        <w:pStyle w:val="a3"/>
      </w:pPr>
      <w:r>
        <w:t> </w:t>
      </w:r>
    </w:p>
    <w:p w:rsidR="00EA0B9E" w:rsidRDefault="00EA0B9E" w:rsidP="00EA0B9E">
      <w:pPr>
        <w:pStyle w:val="caption2"/>
      </w:pPr>
      <w:r>
        <w:t>8.4. Классификация накопителей</w:t>
      </w:r>
    </w:p>
    <w:p w:rsidR="00EA0B9E" w:rsidRDefault="00EA0B9E" w:rsidP="00EA0B9E">
      <w:pPr>
        <w:pStyle w:val="a3"/>
      </w:pPr>
      <w:r>
        <w:t> </w:t>
      </w:r>
    </w:p>
    <w:p w:rsidR="00EA0B9E" w:rsidRDefault="00EA0B9E" w:rsidP="00EA0B9E">
      <w:pPr>
        <w:pStyle w:val="main"/>
      </w:pPr>
      <w:r>
        <w:t>Основными проблемами проектирования накопителей ГПС является выбор типа и расположения накопителя, с одной стороны, и числа и размера накопителей, с другой.</w:t>
      </w:r>
    </w:p>
    <w:p w:rsidR="00EA0B9E" w:rsidRDefault="00EA0B9E" w:rsidP="00EA0B9E">
      <w:pPr>
        <w:pStyle w:val="main"/>
      </w:pPr>
      <w:r>
        <w:t>При расчете размера межоперационных накопителей ведущим принципом считается то, что хранимое количество изделий следовало бы держать настолько малыми, как это является возможным с точки зрения ненарушаемой работы производственной системы, учитывая требования, выдвинутые возможными необслуживаемыми периодами.</w:t>
      </w:r>
    </w:p>
    <w:p w:rsidR="00EA0B9E" w:rsidRDefault="00EA0B9E" w:rsidP="00EA0B9E">
      <w:pPr>
        <w:pStyle w:val="main"/>
      </w:pPr>
      <w:r>
        <w:t>Типы накопителей можно классифицировать согласно режиму их работы и расположению следующим образом:</w:t>
      </w:r>
    </w:p>
    <w:p w:rsidR="00EA0B9E" w:rsidRDefault="00EA0B9E" w:rsidP="00EA0B9E">
      <w:pPr>
        <w:pStyle w:val="main"/>
      </w:pPr>
      <w:r>
        <w:t>1. Внутренний буферный (местный) накопитель.</w:t>
      </w:r>
    </w:p>
    <w:p w:rsidR="00EA0B9E" w:rsidRDefault="00EA0B9E" w:rsidP="00EA0B9E">
      <w:pPr>
        <w:pStyle w:val="main"/>
      </w:pPr>
      <w:r>
        <w:t>Буферный накопитель образуется буферными местами, расположенными в рабочих позициях узлов системы. В этих местах материал ожидает следующей операции обработки или транспортировки в данной системе.</w:t>
      </w:r>
    </w:p>
    <w:p w:rsidR="00EA0B9E" w:rsidRDefault="00EA0B9E" w:rsidP="00EA0B9E">
      <w:pPr>
        <w:pStyle w:val="main"/>
      </w:pPr>
      <w:r>
        <w:t>2. Распределенный межоперационный накопитель – склад.</w:t>
      </w:r>
    </w:p>
    <w:p w:rsidR="00EA0B9E" w:rsidRDefault="00EA0B9E" w:rsidP="00EA0B9E">
      <w:pPr>
        <w:pStyle w:val="main"/>
      </w:pPr>
      <w:r>
        <w:t>Этот тип накопителя расположен в зоне собственно производственной системы и служит, например, в качестве межоперационного накопителя между централизованным накопителем (внешним накопителем) и рабочими позициями системы или в качестве расширенного буферного накопителя в данной системе. В этом виде накопитель обслуживает только одну систему.</w:t>
      </w:r>
    </w:p>
    <w:p w:rsidR="00EA0B9E" w:rsidRDefault="00EA0B9E" w:rsidP="00EA0B9E">
      <w:pPr>
        <w:pStyle w:val="main"/>
      </w:pPr>
      <w:r>
        <w:t>3. Централизованный межоперационный накопитель (централизованный накопитель).</w:t>
      </w:r>
    </w:p>
    <w:p w:rsidR="00EA0B9E" w:rsidRDefault="00EA0B9E" w:rsidP="00EA0B9E">
      <w:pPr>
        <w:pStyle w:val="main"/>
      </w:pPr>
      <w:r>
        <w:t>Центральный накопитель находится вне производственной зоны и его производительность рассматривается согласно потребностям всего предприятия.</w:t>
      </w:r>
    </w:p>
    <w:p w:rsidR="00EA0B9E" w:rsidRDefault="00EA0B9E" w:rsidP="00EA0B9E">
      <w:pPr>
        <w:pStyle w:val="main"/>
      </w:pPr>
      <w:r>
        <w:t>Разные возможные сочетания рассмотренных типов накопителей приводят к четырем практически возможным моделям накопителя.</w:t>
      </w:r>
    </w:p>
    <w:p w:rsidR="00EA0B9E" w:rsidRDefault="00EA0B9E" w:rsidP="00EA0B9E">
      <w:pPr>
        <w:pStyle w:val="main"/>
      </w:pPr>
      <w:r>
        <w:t>1.Чисто буферный накопитель</w:t>
      </w:r>
    </w:p>
    <w:p w:rsidR="00EA0B9E" w:rsidRDefault="00EA0B9E" w:rsidP="00EA0B9E">
      <w:pPr>
        <w:pStyle w:val="list2"/>
      </w:pPr>
      <w:r>
        <w:rPr>
          <w:rFonts w:hAnsi="Symbol"/>
        </w:rPr>
        <w:t></w:t>
      </w:r>
      <w:r>
        <w:t xml:space="preserve">  детали расположены в буферных местах по обеим сторонам рабочих позиций;</w:t>
      </w:r>
    </w:p>
    <w:p w:rsidR="00EA0B9E" w:rsidRDefault="00EA0B9E" w:rsidP="00EA0B9E">
      <w:pPr>
        <w:pStyle w:val="list2"/>
      </w:pPr>
      <w:r>
        <w:rPr>
          <w:rFonts w:hAnsi="Symbol"/>
        </w:rPr>
        <w:t></w:t>
      </w:r>
      <w:r>
        <w:t xml:space="preserve">  максимальная емкость накопителя определяется согласно общему количеству деталей, подлежащих межоперационному накоплению. При расчете необходимо учесть зависимость общего изменения количества деталей от времени, так как согласование изменений с буферными зонами других рабочих позиций не является возможным.</w:t>
      </w:r>
    </w:p>
    <w:p w:rsidR="00EA0B9E" w:rsidRDefault="00EA0B9E" w:rsidP="00EA0B9E">
      <w:pPr>
        <w:pStyle w:val="list2"/>
      </w:pPr>
      <w:r>
        <w:rPr>
          <w:rFonts w:hAnsi="Symbol"/>
        </w:rPr>
        <w:t></w:t>
      </w:r>
      <w:r>
        <w:t xml:space="preserve">  в стадии проектирования следует учесть возможные более поздние потребности в расширении и реконструкции системы, так как буферные зоны тесно связаны со схемой расположения, ввиду чего впоследствии трудно внести изменения.</w:t>
      </w:r>
    </w:p>
    <w:p w:rsidR="00EA0B9E" w:rsidRDefault="00EA0B9E" w:rsidP="00EA0B9E">
      <w:pPr>
        <w:pStyle w:val="main"/>
      </w:pPr>
      <w:r>
        <w:t>2. Буферный и распределенный межоперационный накопитель.</w:t>
      </w:r>
    </w:p>
    <w:p w:rsidR="00EA0B9E" w:rsidRDefault="00EA0B9E" w:rsidP="00EA0B9E">
      <w:pPr>
        <w:pStyle w:val="list2"/>
      </w:pPr>
      <w:r>
        <w:rPr>
          <w:rFonts w:hAnsi="Symbol"/>
        </w:rPr>
        <w:lastRenderedPageBreak/>
        <w:t></w:t>
      </w:r>
      <w:r>
        <w:t xml:space="preserve">  рабочим позициям присвоены отдельные буферные места, обеспечивающие ненарушаемую циркуляцию изготовления в системе;</w:t>
      </w:r>
    </w:p>
    <w:p w:rsidR="00EA0B9E" w:rsidRDefault="00EA0B9E" w:rsidP="00EA0B9E">
      <w:pPr>
        <w:pStyle w:val="list2"/>
      </w:pPr>
      <w:r>
        <w:rPr>
          <w:rFonts w:hAnsi="Symbol"/>
        </w:rPr>
        <w:t></w:t>
      </w:r>
      <w:r>
        <w:t xml:space="preserve">  партия деталей, которая обрабатывается или непосредственно поступает на обработку на данной установке или системе полностью или частично накапливается в буферных зонах;</w:t>
      </w:r>
    </w:p>
    <w:p w:rsidR="00EA0B9E" w:rsidRDefault="00EA0B9E" w:rsidP="00EA0B9E">
      <w:pPr>
        <w:pStyle w:val="list2"/>
      </w:pPr>
      <w:r>
        <w:rPr>
          <w:rFonts w:hAnsi="Symbol"/>
        </w:rPr>
        <w:t></w:t>
      </w:r>
      <w:r>
        <w:t xml:space="preserve">  другие накапливаемые детали (в количествах, требуемых необслуживаемыми периодами), или когда речь идет о больших количествах партий – разделенные партии раскладываются в распределенные межоперационные накопители, причем не требуется большие буферные зоны в рабочих позициях, но, с другой стороны, появляется возросшая потребность в транспортировке между межоперационными накопителями и рабочими позициями;</w:t>
      </w:r>
    </w:p>
    <w:p w:rsidR="00EA0B9E" w:rsidRDefault="00EA0B9E" w:rsidP="00EA0B9E">
      <w:pPr>
        <w:pStyle w:val="list2"/>
      </w:pPr>
      <w:r>
        <w:rPr>
          <w:rFonts w:hAnsi="Symbol"/>
        </w:rPr>
        <w:t></w:t>
      </w:r>
      <w:r>
        <w:t xml:space="preserve">  при расчете накопителя следует учесть то, что распределенные накопители разных систем расположены отдельно друг от друга и согласование изменений емкости не может быть выполнено с помощью резервов накопления разных накопителей, т.е. распределенный накопитель всегда связан с определенной системой;</w:t>
      </w:r>
    </w:p>
    <w:p w:rsidR="00EA0B9E" w:rsidRDefault="00EA0B9E" w:rsidP="00EA0B9E">
      <w:pPr>
        <w:pStyle w:val="list2"/>
      </w:pPr>
      <w:r>
        <w:rPr>
          <w:rFonts w:hAnsi="Symbol"/>
        </w:rPr>
        <w:t></w:t>
      </w:r>
      <w:r>
        <w:t xml:space="preserve">  в качестве оборудования для расчета следует использовать накапливаемое максимальное количество деталей во всей системе, вычитая количества, накапливаемые в соответствующих буферных зонах рабочих позиций.</w:t>
      </w:r>
    </w:p>
    <w:p w:rsidR="00EA0B9E" w:rsidRDefault="00EA0B9E" w:rsidP="00EA0B9E">
      <w:pPr>
        <w:pStyle w:val="main"/>
      </w:pPr>
      <w:r>
        <w:t>3. Буферные зоны и централизованный накопитель</w:t>
      </w:r>
    </w:p>
    <w:p w:rsidR="00EA0B9E" w:rsidRDefault="00EA0B9E" w:rsidP="00EA0B9E">
      <w:pPr>
        <w:pStyle w:val="list2"/>
      </w:pPr>
      <w:r>
        <w:rPr>
          <w:rFonts w:hAnsi="Symbol"/>
        </w:rPr>
        <w:t></w:t>
      </w:r>
      <w:r>
        <w:t xml:space="preserve">  централизованный накопитель связан с деятельностью всего предприятия;</w:t>
      </w:r>
    </w:p>
    <w:p w:rsidR="00EA0B9E" w:rsidRDefault="00EA0B9E" w:rsidP="00EA0B9E">
      <w:pPr>
        <w:pStyle w:val="list2"/>
      </w:pPr>
      <w:r>
        <w:rPr>
          <w:rFonts w:hAnsi="Symbol"/>
        </w:rPr>
        <w:t></w:t>
      </w:r>
      <w:r>
        <w:t xml:space="preserve">  буферные зоны рассчитываются согласно 2-ой модели и остальные накапливаемые детали от разных установок накапливаются централизованно.</w:t>
      </w:r>
    </w:p>
    <w:p w:rsidR="00EA0B9E" w:rsidRDefault="00EA0B9E" w:rsidP="00EA0B9E">
      <w:pPr>
        <w:pStyle w:val="main"/>
      </w:pPr>
      <w:r>
        <w:t>4. Буферные зоны, распределенное и централизованное накопление</w:t>
      </w:r>
    </w:p>
    <w:p w:rsidR="00EA0B9E" w:rsidRDefault="00EA0B9E" w:rsidP="00EA0B9E">
      <w:pPr>
        <w:pStyle w:val="list2"/>
      </w:pPr>
      <w:r>
        <w:rPr>
          <w:rFonts w:hAnsi="Symbol"/>
        </w:rPr>
        <w:t></w:t>
      </w:r>
      <w:r>
        <w:t xml:space="preserve">  сочетание всех выше упомянутых типов, причем комплексное решение состоит из многих буферных зон, распределенных накопителей и одного централизованного накопителя, которые образуют одну иерархическую систему межоперационного накопления всего предприятия.</w:t>
      </w:r>
    </w:p>
    <w:p w:rsidR="00EA0B9E" w:rsidRDefault="00EA0B9E" w:rsidP="00EA0B9E">
      <w:pPr>
        <w:pStyle w:val="list2"/>
      </w:pPr>
      <w:r>
        <w:rPr>
          <w:rFonts w:hAnsi="Symbol"/>
        </w:rPr>
        <w:t></w:t>
      </w:r>
      <w:r>
        <w:t xml:space="preserve">  накапливаемые детали, не подходящие к нижнему уровню, переходят в следующий более широкий уровень.</w:t>
      </w:r>
    </w:p>
    <w:p w:rsidR="00EA0B9E" w:rsidRDefault="00EA0B9E" w:rsidP="00EA0B9E">
      <w:pPr>
        <w:pStyle w:val="list2"/>
      </w:pPr>
      <w:r>
        <w:rPr>
          <w:rFonts w:hAnsi="Symbol"/>
        </w:rPr>
        <w:t></w:t>
      </w:r>
      <w:r>
        <w:t xml:space="preserve">  буферные зоны рассматриваются согласно 2-ой модели;</w:t>
      </w:r>
    </w:p>
    <w:p w:rsidR="00EA0B9E" w:rsidRDefault="00EA0B9E" w:rsidP="00EA0B9E">
      <w:pPr>
        <w:pStyle w:val="list2"/>
      </w:pPr>
      <w:r>
        <w:rPr>
          <w:rFonts w:hAnsi="Symbol"/>
        </w:rPr>
        <w:t></w:t>
      </w:r>
      <w:r>
        <w:t xml:space="preserve">  каждый из распределенных межоперационных накопителей рассматривается согласно минимуму общего изменения количества деталей, накапливаемых на данной установке, вычитая количества, накапливаемые в собственно буферных зонах установки (рис.16);</w:t>
      </w:r>
    </w:p>
    <w:p w:rsidR="00EA0B9E" w:rsidRDefault="00EA0B9E" w:rsidP="00EA0B9E">
      <w:pPr>
        <w:pStyle w:val="list2"/>
      </w:pPr>
      <w:r>
        <w:rPr>
          <w:rFonts w:hAnsi="Symbol"/>
        </w:rPr>
        <w:t></w:t>
      </w:r>
      <w:r>
        <w:t xml:space="preserve">  централизованный накопитель будет рассчитан на основании суммы максимальных количеств общего изменения накапливаемых количеств деталей разных систем (установок).</w:t>
      </w:r>
    </w:p>
    <w:p w:rsidR="00EA0B9E" w:rsidRDefault="00EA0B9E" w:rsidP="00EA0B9E">
      <w:pPr>
        <w:pStyle w:val="a3"/>
      </w:pPr>
      <w:r>
        <w:t> </w:t>
      </w:r>
    </w:p>
    <w:p w:rsidR="00EA0B9E" w:rsidRDefault="00EA0B9E" w:rsidP="00EA0B9E">
      <w:pPr>
        <w:pStyle w:val="caption2"/>
      </w:pPr>
      <w:r>
        <w:t>8.4. Транспортно-складская тара</w:t>
      </w:r>
    </w:p>
    <w:p w:rsidR="00EA0B9E" w:rsidRDefault="00EA0B9E" w:rsidP="00EA0B9E">
      <w:pPr>
        <w:pStyle w:val="a3"/>
      </w:pPr>
      <w:r>
        <w:t> </w:t>
      </w:r>
    </w:p>
    <w:p w:rsidR="00EA0B9E" w:rsidRDefault="00EA0B9E" w:rsidP="00EA0B9E">
      <w:pPr>
        <w:pStyle w:val="main"/>
      </w:pPr>
      <w:r>
        <w:t>Основой технического оснащения, также механизации и автоматизации процессов перемещения и складирования грузов на складах заводов является применение многооборотной транспортно-складской или специализированной технологической тары (кассет, спутников).</w:t>
      </w:r>
    </w:p>
    <w:p w:rsidR="00EA0B9E" w:rsidRDefault="00EA0B9E" w:rsidP="00EA0B9E">
      <w:pPr>
        <w:pStyle w:val="main"/>
      </w:pPr>
      <w:r>
        <w:lastRenderedPageBreak/>
        <w:t>Выбор параметров складской тары является одним из первых этапов проектирования складской технологии, так как тара увязывает между собой номенклатуру перерабатываемых грузов, производственные участки завода, внешние и внутренние грузопотоки и все элементы складской системы (стеллажи, штабелирующее оборудование, складское здание).</w:t>
      </w:r>
    </w:p>
    <w:p w:rsidR="00EA0B9E" w:rsidRDefault="00EA0B9E" w:rsidP="00EA0B9E">
      <w:pPr>
        <w:pStyle w:val="main"/>
      </w:pPr>
      <w:r>
        <w:t>Увязка тары с внешними грузопотоками склада должна выполняться посредством лучшего заполнения транспортных средств груженными поддонами и обеспечения бесперевалочного процесса транспортировки грузов от потребителей до поставщиков в пакетах.</w:t>
      </w:r>
    </w:p>
    <w:p w:rsidR="00EA0B9E" w:rsidRDefault="00EA0B9E" w:rsidP="00EA0B9E">
      <w:pPr>
        <w:pStyle w:val="main"/>
      </w:pPr>
      <w:r>
        <w:t>Транспортным пакетом называется укрупненная грузовая единица, сформированная из штучных грузов в таре и без нее с применением различных способов и средств пакетирования, сохраняющая форму в процессе обращения и обеспечивающая возможность комплексной механизации погрузочно-разгрузочных и складских операций.</w:t>
      </w:r>
    </w:p>
    <w:p w:rsidR="00EA0B9E" w:rsidRDefault="00EA0B9E" w:rsidP="00EA0B9E">
      <w:pPr>
        <w:pStyle w:val="main"/>
      </w:pPr>
      <w:r>
        <w:t xml:space="preserve">Одним из основных средств пакетирования являются </w:t>
      </w:r>
      <w:r>
        <w:rPr>
          <w:u w:val="single"/>
        </w:rPr>
        <w:t>поддоны</w:t>
      </w:r>
      <w:r>
        <w:t xml:space="preserve"> (плоские, стоечные и ящичные).</w:t>
      </w:r>
    </w:p>
    <w:p w:rsidR="00EA0B9E" w:rsidRDefault="00EA0B9E" w:rsidP="00EA0B9E">
      <w:pPr>
        <w:pStyle w:val="main"/>
      </w:pPr>
      <w:r>
        <w:t xml:space="preserve">Все поддоны можно классифицировать </w:t>
      </w:r>
    </w:p>
    <w:p w:rsidR="00EA0B9E" w:rsidRDefault="00EA0B9E" w:rsidP="00EA0B9E">
      <w:pPr>
        <w:pStyle w:val="list2"/>
      </w:pPr>
      <w:r>
        <w:rPr>
          <w:rFonts w:hAnsi="Symbol"/>
        </w:rPr>
        <w:t></w:t>
      </w:r>
      <w:r>
        <w:t xml:space="preserve">  по назначению: транспортные и технологические (кассеты, спутники).</w:t>
      </w:r>
    </w:p>
    <w:p w:rsidR="00EA0B9E" w:rsidRDefault="00EA0B9E" w:rsidP="00EA0B9E">
      <w:pPr>
        <w:pStyle w:val="list2"/>
      </w:pPr>
      <w:r>
        <w:rPr>
          <w:rFonts w:hAnsi="Symbol"/>
        </w:rPr>
        <w:t></w:t>
      </w:r>
      <w:r>
        <w:t xml:space="preserve">  по роду транспортируемых грузов:</w:t>
      </w:r>
    </w:p>
    <w:p w:rsidR="00EA0B9E" w:rsidRDefault="00EA0B9E" w:rsidP="00EA0B9E">
      <w:pPr>
        <w:pStyle w:val="main"/>
      </w:pPr>
      <w:r>
        <w:t>а) универсальные (для грузов широкой номенклатуры);</w:t>
      </w:r>
    </w:p>
    <w:p w:rsidR="00EA0B9E" w:rsidRDefault="00EA0B9E" w:rsidP="00EA0B9E">
      <w:pPr>
        <w:pStyle w:val="main"/>
      </w:pPr>
      <w:r>
        <w:t>б) специальные (для определенных грузов).</w:t>
      </w:r>
    </w:p>
    <w:p w:rsidR="00EA0B9E" w:rsidRDefault="00EA0B9E" w:rsidP="00EA0B9E">
      <w:pPr>
        <w:pStyle w:val="list2"/>
      </w:pPr>
      <w:r>
        <w:rPr>
          <w:rFonts w:hAnsi="Symbol"/>
        </w:rPr>
        <w:t></w:t>
      </w:r>
      <w:r>
        <w:t xml:space="preserve">  по конструкции (плоские, стоячные, ящичные, одно- и двухнастильные, одно- и двухзаходные)</w:t>
      </w:r>
    </w:p>
    <w:p w:rsidR="00EA0B9E" w:rsidRDefault="00EA0B9E" w:rsidP="00EA0B9E">
      <w:pPr>
        <w:pStyle w:val="list2"/>
      </w:pPr>
      <w:r>
        <w:rPr>
          <w:rFonts w:hAnsi="Symbol"/>
        </w:rPr>
        <w:t></w:t>
      </w:r>
      <w:r>
        <w:t xml:space="preserve">  по материалу (металлические, деревянные, пластмассовые, картонные, композитные с применением древесно-стружечных плит и др. материалов).</w:t>
      </w:r>
    </w:p>
    <w:p w:rsidR="00EA0B9E" w:rsidRDefault="00EA0B9E" w:rsidP="00EA0B9E">
      <w:pPr>
        <w:pStyle w:val="list2"/>
      </w:pPr>
      <w:r>
        <w:rPr>
          <w:rFonts w:hAnsi="Symbol"/>
        </w:rPr>
        <w:t></w:t>
      </w:r>
      <w:r>
        <w:t xml:space="preserve">  по продолжительности использования (разового использования, многооборотные).</w:t>
      </w:r>
    </w:p>
    <w:p w:rsidR="00EA0B9E" w:rsidRDefault="00EA0B9E" w:rsidP="00EA0B9E">
      <w:pPr>
        <w:pStyle w:val="list2"/>
      </w:pPr>
      <w:r>
        <w:rPr>
          <w:rFonts w:hAnsi="Symbol"/>
        </w:rPr>
        <w:t></w:t>
      </w:r>
      <w:r>
        <w:t xml:space="preserve">  по области применения (внутрискладские поддоны, для внутризаводских перевозок, для внешних магистральных перевозок).</w:t>
      </w:r>
    </w:p>
    <w:p w:rsidR="00EA0B9E" w:rsidRDefault="00EA0B9E" w:rsidP="00EA0B9E">
      <w:pPr>
        <w:pStyle w:val="list2"/>
      </w:pPr>
      <w:r>
        <w:rPr>
          <w:rFonts w:hAnsi="Symbol"/>
        </w:rPr>
        <w:t></w:t>
      </w:r>
      <w:r>
        <w:t xml:space="preserve">  по размерам (150</w:t>
      </w:r>
      <w:r>
        <w:rPr>
          <w:noProof/>
        </w:rPr>
        <w:drawing>
          <wp:inline distT="0" distB="0" distL="0" distR="0">
            <wp:extent cx="123825" cy="142875"/>
            <wp:effectExtent l="19050" t="0" r="9525" b="0"/>
            <wp:docPr id="8" name="Рисунок 8" descr="image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00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200, 200</w:t>
      </w:r>
      <w:r>
        <w:rPr>
          <w:noProof/>
        </w:rPr>
        <w:drawing>
          <wp:inline distT="0" distB="0" distL="0" distR="0">
            <wp:extent cx="123825" cy="142875"/>
            <wp:effectExtent l="19050" t="0" r="9525" b="0"/>
            <wp:docPr id="9" name="Рисунок 9" descr="image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00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300, 300</w:t>
      </w:r>
      <w:r>
        <w:rPr>
          <w:noProof/>
        </w:rPr>
        <w:drawing>
          <wp:inline distT="0" distB="0" distL="0" distR="0">
            <wp:extent cx="123825" cy="142875"/>
            <wp:effectExtent l="19050" t="0" r="9525" b="0"/>
            <wp:docPr id="10" name="Рисунок 10" descr="image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01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400, 400</w:t>
      </w:r>
      <w:r>
        <w:rPr>
          <w:noProof/>
        </w:rPr>
        <w:drawing>
          <wp:inline distT="0" distB="0" distL="0" distR="0">
            <wp:extent cx="123825" cy="142875"/>
            <wp:effectExtent l="19050" t="0" r="9525" b="0"/>
            <wp:docPr id="11" name="Рисунок 11" descr="image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01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600, 600</w:t>
      </w:r>
      <w:r>
        <w:rPr>
          <w:noProof/>
        </w:rPr>
        <w:drawing>
          <wp:inline distT="0" distB="0" distL="0" distR="0">
            <wp:extent cx="123825" cy="142875"/>
            <wp:effectExtent l="19050" t="0" r="9525" b="0"/>
            <wp:docPr id="12" name="Рисунок 12" descr="image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01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800, 800</w:t>
      </w:r>
      <w:r>
        <w:rPr>
          <w:noProof/>
        </w:rPr>
        <w:drawing>
          <wp:inline distT="0" distB="0" distL="0" distR="0">
            <wp:extent cx="123825" cy="142875"/>
            <wp:effectExtent l="19050" t="0" r="9525" b="0"/>
            <wp:docPr id="13" name="Рисунок 13" descr="image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01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800, 800</w:t>
      </w:r>
      <w:r>
        <w:rPr>
          <w:noProof/>
        </w:rPr>
        <w:drawing>
          <wp:inline distT="0" distB="0" distL="0" distR="0">
            <wp:extent cx="123825" cy="142875"/>
            <wp:effectExtent l="19050" t="0" r="9525" b="0"/>
            <wp:docPr id="14" name="Рисунок 14" descr="image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01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1000, 800</w:t>
      </w:r>
      <w:r>
        <w:rPr>
          <w:noProof/>
        </w:rPr>
        <w:drawing>
          <wp:inline distT="0" distB="0" distL="0" distR="0">
            <wp:extent cx="123825" cy="142875"/>
            <wp:effectExtent l="19050" t="0" r="9525" b="0"/>
            <wp:docPr id="15" name="Рисунок 15" descr="image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01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1200, 1000</w:t>
      </w:r>
      <w:r>
        <w:rPr>
          <w:noProof/>
        </w:rPr>
        <w:drawing>
          <wp:inline distT="0" distB="0" distL="0" distR="0">
            <wp:extent cx="123825" cy="142875"/>
            <wp:effectExtent l="19050" t="0" r="9525" b="0"/>
            <wp:docPr id="16" name="Рисунок 16" descr="image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mage01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1000, 1000</w:t>
      </w:r>
      <w:r>
        <w:rPr>
          <w:noProof/>
        </w:rPr>
        <w:drawing>
          <wp:inline distT="0" distB="0" distL="0" distR="0">
            <wp:extent cx="123825" cy="142875"/>
            <wp:effectExtent l="19050" t="0" r="9525" b="0"/>
            <wp:docPr id="17" name="Рисунок 17" descr="image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e01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1200).</w:t>
      </w:r>
    </w:p>
    <w:p w:rsidR="00EA0B9E" w:rsidRDefault="00EA0B9E" w:rsidP="00EA0B9E">
      <w:pPr>
        <w:pStyle w:val="main"/>
      </w:pPr>
      <w:r>
        <w:t>Многооборотные поддоны являются частью транспортно-складского оборудования ГАП, участка, цеха, завода.</w:t>
      </w:r>
    </w:p>
    <w:p w:rsidR="00EA0B9E" w:rsidRDefault="00EA0B9E" w:rsidP="00EA0B9E">
      <w:pPr>
        <w:pStyle w:val="main"/>
      </w:pPr>
      <w:r>
        <w:t>Особенностью специальных технологических поддонов для ГАП является то, что на них определенные грузы (заготовки, полуфабрикаты, детали) располагают в фиксированном положении, а иногда и закрепляют заранее, например, на поддонах-спутниках.</w:t>
      </w:r>
    </w:p>
    <w:p w:rsidR="00EA0B9E" w:rsidRDefault="00EA0B9E" w:rsidP="00EA0B9E">
      <w:pPr>
        <w:pStyle w:val="a3"/>
      </w:pPr>
      <w:r>
        <w:t> </w:t>
      </w:r>
    </w:p>
    <w:p w:rsidR="00EA0B9E" w:rsidRDefault="00EA0B9E" w:rsidP="00EA0B9E">
      <w:pPr>
        <w:pStyle w:val="caption4"/>
      </w:pPr>
      <w:r>
        <w:t>Контрольные задания</w:t>
      </w:r>
    </w:p>
    <w:p w:rsidR="00EA0B9E" w:rsidRDefault="00EA0B9E" w:rsidP="00EA0B9E">
      <w:pPr>
        <w:pStyle w:val="a3"/>
      </w:pPr>
      <w:r>
        <w:t> </w:t>
      </w:r>
    </w:p>
    <w:p w:rsidR="00EA0B9E" w:rsidRDefault="00EA0B9E" w:rsidP="00EA0B9E">
      <w:pPr>
        <w:pStyle w:val="caption4"/>
      </w:pPr>
      <w:r>
        <w:t>Задание 8.1.</w:t>
      </w:r>
    </w:p>
    <w:p w:rsidR="00EA0B9E" w:rsidRDefault="00EA0B9E" w:rsidP="00EA0B9E">
      <w:pPr>
        <w:pStyle w:val="main"/>
      </w:pPr>
      <w:r>
        <w:t>Классификация складов промышленных предприятий.</w:t>
      </w:r>
    </w:p>
    <w:p w:rsidR="00EA0B9E" w:rsidRDefault="00EA0B9E" w:rsidP="00EA0B9E">
      <w:pPr>
        <w:pStyle w:val="caption4"/>
      </w:pPr>
      <w:r>
        <w:t>Задание 8.2.</w:t>
      </w:r>
    </w:p>
    <w:p w:rsidR="00EA0B9E" w:rsidRDefault="00EA0B9E" w:rsidP="00EA0B9E">
      <w:pPr>
        <w:pStyle w:val="main"/>
      </w:pPr>
      <w:r>
        <w:t>Как классифицируются склады по уровню механизации и автоматизации?</w:t>
      </w:r>
    </w:p>
    <w:p w:rsidR="00EA0B9E" w:rsidRDefault="00EA0B9E" w:rsidP="00EA0B9E">
      <w:pPr>
        <w:pStyle w:val="caption4"/>
      </w:pPr>
      <w:r>
        <w:t>Задание 8.3.</w:t>
      </w:r>
    </w:p>
    <w:p w:rsidR="00EA0B9E" w:rsidRDefault="00EA0B9E" w:rsidP="00EA0B9E">
      <w:pPr>
        <w:pStyle w:val="main"/>
      </w:pPr>
      <w:r>
        <w:t>Состав автоматического стеллажного склада.</w:t>
      </w:r>
    </w:p>
    <w:p w:rsidR="00681DC2" w:rsidRDefault="00681DC2"/>
    <w:sectPr w:rsidR="00681DC2" w:rsidSect="00681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A7D72"/>
    <w:multiLevelType w:val="multilevel"/>
    <w:tmpl w:val="A9E06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D76D17"/>
    <w:multiLevelType w:val="multilevel"/>
    <w:tmpl w:val="A332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2E2A14"/>
    <w:multiLevelType w:val="multilevel"/>
    <w:tmpl w:val="DE7CC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A0B9E"/>
    <w:rsid w:val="00681DC2"/>
    <w:rsid w:val="00EA0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A0B9E"/>
    <w:pPr>
      <w:spacing w:after="0" w:line="240" w:lineRule="auto"/>
      <w:ind w:firstLine="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1">
    <w:name w:val="caption1"/>
    <w:basedOn w:val="a"/>
    <w:rsid w:val="00EA0B9E"/>
    <w:pPr>
      <w:spacing w:after="0" w:line="240" w:lineRule="auto"/>
      <w:ind w:firstLine="400"/>
      <w:jc w:val="center"/>
      <w:textAlignment w:val="center"/>
    </w:pPr>
    <w:rPr>
      <w:rFonts w:ascii="Arial" w:eastAsia="Times New Roman" w:hAnsi="Arial" w:cs="Arial"/>
      <w:b/>
      <w:bCs/>
      <w:sz w:val="27"/>
      <w:szCs w:val="27"/>
      <w:lang w:eastAsia="ru-RU"/>
    </w:rPr>
  </w:style>
  <w:style w:type="paragraph" w:customStyle="1" w:styleId="caption2">
    <w:name w:val="caption2"/>
    <w:basedOn w:val="a"/>
    <w:rsid w:val="00EA0B9E"/>
    <w:pPr>
      <w:spacing w:after="0" w:line="240" w:lineRule="auto"/>
      <w:ind w:firstLine="400"/>
      <w:textAlignment w:val="center"/>
    </w:pPr>
    <w:rPr>
      <w:rFonts w:ascii="Arial" w:eastAsia="Times New Roman" w:hAnsi="Arial" w:cs="Arial"/>
      <w:b/>
      <w:bCs/>
      <w:i/>
      <w:iCs/>
      <w:sz w:val="27"/>
      <w:szCs w:val="27"/>
      <w:lang w:eastAsia="ru-RU"/>
    </w:rPr>
  </w:style>
  <w:style w:type="paragraph" w:customStyle="1" w:styleId="caption4">
    <w:name w:val="caption4"/>
    <w:basedOn w:val="a"/>
    <w:rsid w:val="00EA0B9E"/>
    <w:pPr>
      <w:spacing w:after="0" w:line="240" w:lineRule="auto"/>
      <w:ind w:firstLine="400"/>
      <w:jc w:val="center"/>
      <w:textAlignment w:val="center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list1">
    <w:name w:val="list1"/>
    <w:basedOn w:val="a"/>
    <w:rsid w:val="00EA0B9E"/>
    <w:pPr>
      <w:spacing w:after="0" w:line="240" w:lineRule="auto"/>
      <w:ind w:firstLine="400"/>
      <w:jc w:val="both"/>
      <w:textAlignment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list2">
    <w:name w:val="list2"/>
    <w:basedOn w:val="a"/>
    <w:rsid w:val="00EA0B9E"/>
    <w:pPr>
      <w:spacing w:after="0" w:line="240" w:lineRule="auto"/>
      <w:ind w:firstLine="400"/>
      <w:jc w:val="both"/>
      <w:textAlignment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main">
    <w:name w:val="main"/>
    <w:basedOn w:val="a"/>
    <w:rsid w:val="00EA0B9E"/>
    <w:pPr>
      <w:spacing w:after="0" w:line="240" w:lineRule="auto"/>
      <w:ind w:firstLine="400"/>
      <w:jc w:val="both"/>
      <w:textAlignment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image">
    <w:name w:val="image"/>
    <w:basedOn w:val="a"/>
    <w:rsid w:val="00EA0B9E"/>
    <w:pPr>
      <w:spacing w:after="0" w:line="240" w:lineRule="auto"/>
      <w:ind w:firstLine="40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caption">
    <w:name w:val="tab_caption"/>
    <w:basedOn w:val="a"/>
    <w:rsid w:val="00EA0B9E"/>
    <w:pPr>
      <w:spacing w:after="0" w:line="240" w:lineRule="auto"/>
      <w:ind w:firstLine="400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A0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0B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1983</Words>
  <Characters>11308</Characters>
  <Application>Microsoft Office Word</Application>
  <DocSecurity>0</DocSecurity>
  <Lines>94</Lines>
  <Paragraphs>26</Paragraphs>
  <ScaleCrop>false</ScaleCrop>
  <Company/>
  <LinksUpToDate>false</LinksUpToDate>
  <CharactersWithSpaces>13265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2013-01-23T05:34:00Z</dcterms:created>
  <dcterms:modified xsi:type="dcterms:W3CDTF">2013-01-23T05:35:00Z</dcterms:modified>
</cp:coreProperties>
</file>